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pPr>
        <w:snapToGrid w:val="0"/>
        <w:spacing w:line="360" w:lineRule="auto"/>
        <w:ind w:right="-447"/>
        <w:jc w:val="center"/>
        <w:rPr>
          <w:rFonts w:hint="eastAsia" w:ascii="仿宋" w:hAnsi="仿宋" w:eastAsia="仿宋" w:cs="仿宋"/>
          <w:b w:val="0"/>
          <w:bCs/>
          <w:color w:val="auto"/>
          <w:sz w:val="36"/>
          <w:szCs w:val="36"/>
          <w:highlight w:val="none"/>
        </w:rPr>
      </w:pPr>
      <w:r>
        <w:rPr>
          <w:rFonts w:hint="eastAsia" w:ascii="宋体" w:hAnsi="宋体" w:cs="宋体"/>
          <w:b w:val="0"/>
          <w:bCs w:val="0"/>
          <w:kern w:val="1"/>
          <w:sz w:val="32"/>
          <w:szCs w:val="32"/>
          <w:highlight w:val="none"/>
          <w:lang w:val="en-US" w:eastAsia="zh-CN"/>
        </w:rPr>
        <w:t xml:space="preserve"> 三相交流异步电动机YE5-100L2-4 3KW 380V  1级 F (+)</w:t>
      </w:r>
      <w:r>
        <w:rPr>
          <w:rFonts w:hint="eastAsia" w:ascii="仿宋" w:hAnsi="仿宋" w:eastAsia="仿宋" w:cs="仿宋"/>
          <w:b w:val="0"/>
          <w:bCs/>
          <w:color w:val="auto"/>
          <w:sz w:val="36"/>
          <w:szCs w:val="48"/>
          <w:highlight w:val="none"/>
        </w:rPr>
        <w:t>采购技术</w:t>
      </w:r>
      <w:r>
        <w:rPr>
          <w:rFonts w:hint="eastAsia" w:ascii="仿宋" w:hAnsi="仿宋" w:eastAsia="仿宋" w:cs="仿宋"/>
          <w:b w:val="0"/>
          <w:bCs/>
          <w:color w:val="auto"/>
          <w:sz w:val="36"/>
          <w:szCs w:val="48"/>
          <w:highlight w:val="none"/>
          <w:lang w:val="en-US" w:eastAsia="zh-CN"/>
        </w:rPr>
        <w:t>规格书</w:t>
      </w:r>
    </w:p>
    <w:p>
      <w:pPr>
        <w:snapToGrid w:val="0"/>
        <w:spacing w:line="360" w:lineRule="auto"/>
        <w:ind w:right="-447"/>
        <w:jc w:val="center"/>
        <w:rPr>
          <w:rFonts w:hint="eastAsia" w:ascii="仿宋" w:hAnsi="仿宋" w:eastAsia="仿宋" w:cs="仿宋"/>
          <w:b/>
          <w:color w:val="auto"/>
          <w:sz w:val="36"/>
          <w:szCs w:val="48"/>
          <w:highlight w:val="none"/>
        </w:rPr>
      </w:pPr>
    </w:p>
    <w:p>
      <w:pPr>
        <w:snapToGrid w:val="0"/>
        <w:spacing w:line="360" w:lineRule="auto"/>
        <w:ind w:right="-447"/>
        <w:jc w:val="center"/>
        <w:rPr>
          <w:rFonts w:hint="eastAsia" w:ascii="仿宋" w:hAnsi="仿宋" w:eastAsia="仿宋" w:cs="仿宋"/>
          <w:b/>
          <w:color w:val="auto"/>
          <w:sz w:val="36"/>
          <w:szCs w:val="48"/>
          <w:highlight w:val="none"/>
        </w:rPr>
      </w:pPr>
    </w:p>
    <w:p>
      <w:pPr>
        <w:pStyle w:val="2"/>
        <w:rPr>
          <w:rFonts w:hint="eastAsia" w:ascii="仿宋" w:hAnsi="仿宋" w:eastAsia="仿宋" w:cs="仿宋"/>
          <w:color w:val="auto"/>
          <w:highlight w:val="none"/>
        </w:rPr>
      </w:pPr>
    </w:p>
    <w:p>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pPr>
        <w:widowControl/>
        <w:spacing w:before="100" w:beforeAutospacing="1" w:after="100" w:afterAutospacing="1" w:line="360" w:lineRule="auto"/>
        <w:ind w:right="72" w:rightChars="30" w:firstLine="6023" w:firstLineChars="2000"/>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 月</w:t>
      </w:r>
      <w:r>
        <w:rPr>
          <w:rFonts w:hint="eastAsia" w:ascii="仿宋" w:hAnsi="仿宋" w:eastAsia="仿宋" w:cs="仿宋"/>
          <w:b/>
          <w:color w:val="auto"/>
          <w:sz w:val="30"/>
          <w:szCs w:val="30"/>
          <w:highlight w:val="none"/>
          <w:lang w:val="en-US" w:eastAsia="zh-CN"/>
        </w:rPr>
        <w:t xml:space="preserve"> </w:t>
      </w:r>
      <w:bookmarkStart w:id="1" w:name="_GoBack"/>
      <w:bookmarkEnd w:id="1"/>
      <w:r>
        <w:rPr>
          <w:rFonts w:hint="eastAsia" w:ascii="仿宋" w:hAnsi="仿宋" w:eastAsia="仿宋" w:cs="仿宋"/>
          <w:b/>
          <w:color w:val="auto"/>
          <w:sz w:val="30"/>
          <w:szCs w:val="30"/>
          <w:highlight w:val="none"/>
        </w:rPr>
        <w:t>日</w:t>
      </w:r>
    </w:p>
    <w:p>
      <w:pPr>
        <w:spacing w:line="360" w:lineRule="auto"/>
        <w:rPr>
          <w:rFonts w:hint="eastAsia" w:ascii="仿宋" w:hAnsi="仿宋" w:eastAsia="仿宋" w:cs="仿宋"/>
          <w:bCs/>
          <w:color w:val="auto"/>
          <w:highlight w:val="none"/>
        </w:rPr>
      </w:pPr>
    </w:p>
    <w:p>
      <w:pPr>
        <w:spacing w:line="360" w:lineRule="auto"/>
        <w:rPr>
          <w:rFonts w:hint="eastAsia" w:ascii="仿宋" w:hAnsi="仿宋" w:eastAsia="仿宋" w:cs="仿宋"/>
          <w:bCs/>
          <w:color w:val="auto"/>
          <w:highlight w:val="none"/>
        </w:rPr>
      </w:pPr>
    </w:p>
    <w:p>
      <w:pPr>
        <w:spacing w:line="360" w:lineRule="auto"/>
        <w:rPr>
          <w:rFonts w:hint="eastAsia" w:ascii="仿宋" w:hAnsi="仿宋" w:eastAsia="仿宋" w:cs="仿宋"/>
          <w:bCs/>
          <w:color w:val="auto"/>
          <w:highlight w:val="none"/>
        </w:rPr>
      </w:pPr>
    </w:p>
    <w:p>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360" w:lineRule="auto"/>
        <w:ind w:firstLine="3791" w:firstLineChars="1049"/>
        <w:rPr>
          <w:rFonts w:hint="eastAsia" w:ascii="仿宋" w:hAnsi="仿宋" w:eastAsia="仿宋" w:cs="仿宋"/>
          <w:b/>
          <w:color w:val="auto"/>
          <w:sz w:val="36"/>
          <w:szCs w:val="36"/>
          <w:highlight w:val="none"/>
        </w:rPr>
      </w:pP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三相交流异步电动机YE5-100L2-4 3KW 380V  1级 F (+)</w:t>
      </w:r>
      <w:r>
        <w:rPr>
          <w:rFonts w:hint="eastAsia" w:ascii="仿宋" w:hAnsi="仿宋" w:eastAsia="仿宋" w:cs="仿宋"/>
          <w:color w:val="auto"/>
          <w:sz w:val="21"/>
          <w:szCs w:val="21"/>
          <w:highlight w:val="none"/>
        </w:rPr>
        <w:t>采购经双方协商，达成如下技术协议：</w:t>
      </w:r>
    </w:p>
    <w:p>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乙方提供货物的制造、材料的选择，都应按照国内外通用的现行标准和相应的技术规范执行，而这些标准和技术规范应为合同签字日为止最新公布的标准和技术规范</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1.5乙方须对此备件的完整性、合理性和设计质量承担全部责任。保证设备满足系统工艺要求。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val="en-US" w:eastAsia="zh-CN"/>
        </w:rPr>
        <w:t>三相交流异步电动机YE5-100L2-4 3KW 380V  1级 F (+)</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7#高炉</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0℃</w:t>
      </w:r>
      <w:r>
        <w:rPr>
          <w:rFonts w:hint="eastAsia" w:ascii="仿宋" w:hAnsi="仿宋" w:eastAsia="仿宋" w:cs="仿宋"/>
          <w:color w:val="auto"/>
          <w:sz w:val="21"/>
          <w:szCs w:val="21"/>
          <w:highlight w:val="none"/>
        </w:rPr>
        <w:t>。海拔1640米。</w:t>
      </w:r>
    </w:p>
    <w:p>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w:t>
      </w:r>
      <w:r>
        <w:rPr>
          <w:rFonts w:hint="eastAsia" w:ascii="仿宋" w:hAnsi="仿宋" w:eastAsia="仿宋" w:cs="仿宋"/>
          <w:color w:val="auto"/>
          <w:sz w:val="21"/>
          <w:szCs w:val="21"/>
          <w:highlight w:val="none"/>
          <w:lang w:eastAsia="zh-CN"/>
        </w:rPr>
        <w:t>电机相关</w:t>
      </w:r>
      <w:r>
        <w:rPr>
          <w:rFonts w:hint="eastAsia" w:ascii="仿宋" w:hAnsi="仿宋" w:eastAsia="仿宋" w:cs="仿宋"/>
          <w:color w:val="auto"/>
          <w:sz w:val="21"/>
          <w:szCs w:val="21"/>
          <w:highlight w:val="none"/>
        </w:rPr>
        <w:t>标准。</w:t>
      </w:r>
    </w:p>
    <w:p>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①</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型号：</w:t>
      </w:r>
      <w:r>
        <w:rPr>
          <w:rFonts w:hint="eastAsia" w:ascii="仿宋" w:hAnsi="仿宋" w:eastAsia="仿宋" w:cs="仿宋"/>
          <w:b w:val="0"/>
          <w:bCs w:val="0"/>
          <w:color w:val="auto"/>
          <w:sz w:val="21"/>
          <w:szCs w:val="21"/>
          <w:highlight w:val="none"/>
          <w:lang w:val="en-US" w:eastAsia="zh-CN"/>
        </w:rPr>
        <w:t xml:space="preserve"> 三相交流异步电动机YE5-100L2-4 3KW 380V  1级 F (+)</w:t>
      </w:r>
      <w:r>
        <w:rPr>
          <w:rFonts w:hint="eastAsia" w:ascii="仿宋" w:hAnsi="仿宋" w:eastAsia="仿宋" w:cs="仿宋"/>
          <w:color w:val="auto"/>
          <w:sz w:val="21"/>
          <w:szCs w:val="21"/>
          <w:highlight w:val="none"/>
          <w:lang w:val="en-US" w:eastAsia="zh-CN"/>
        </w:rPr>
        <w:t xml:space="preserve">               </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②</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电压等级</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 xml:space="preserve">AC380V </w:t>
      </w:r>
    </w:p>
    <w:p>
      <w:pPr>
        <w:spacing w:line="360" w:lineRule="auto"/>
        <w:ind w:left="418" w:leftChars="174" w:firstLine="0" w:firstLineChars="0"/>
        <w:rPr>
          <w:rFonts w:hint="default" w:ascii="仿宋" w:hAnsi="仿宋" w:eastAsia="仿宋" w:cs="仿宋"/>
          <w:color w:val="auto"/>
          <w:sz w:val="21"/>
          <w:szCs w:val="21"/>
          <w:highlight w:val="none"/>
          <w:lang w:val="en-US" w:eastAsia="zh-CN"/>
        </w:rPr>
      </w:pPr>
      <w:r>
        <w:rPr>
          <w:rFonts w:hint="default" w:ascii="仿宋" w:hAnsi="仿宋" w:eastAsia="仿宋" w:cs="仿宋"/>
          <w:color w:val="auto"/>
          <w:sz w:val="21"/>
          <w:szCs w:val="21"/>
          <w:highlight w:val="none"/>
          <w:lang w:eastAsia="zh-CN"/>
        </w:rPr>
        <w:t>④</w:t>
      </w:r>
      <w:r>
        <w:rPr>
          <w:rFonts w:hint="eastAsia" w:ascii="仿宋" w:hAnsi="仿宋" w:eastAsia="仿宋" w:cs="仿宋"/>
          <w:color w:val="auto"/>
          <w:sz w:val="21"/>
          <w:szCs w:val="21"/>
          <w:highlight w:val="none"/>
          <w:lang w:val="en-US" w:eastAsia="zh-CN"/>
        </w:rPr>
        <w:t xml:space="preserve"> 接线方式：Y</w:t>
      </w:r>
    </w:p>
    <w:p>
      <w:pPr>
        <w:spacing w:line="360" w:lineRule="auto"/>
        <w:ind w:left="418" w:leftChars="174" w:firstLine="0" w:firstLineChars="0"/>
        <w:rPr>
          <w:rFonts w:hint="default" w:ascii="仿宋" w:hAnsi="仿宋" w:eastAsia="仿宋" w:cs="仿宋"/>
          <w:color w:val="auto"/>
          <w:sz w:val="21"/>
          <w:szCs w:val="21"/>
          <w:highlight w:val="none"/>
          <w:lang w:val="en-US" w:eastAsia="zh-CN"/>
        </w:rPr>
      </w:pPr>
      <w:r>
        <w:rPr>
          <w:rFonts w:hint="default" w:ascii="仿宋" w:hAnsi="仿宋" w:eastAsia="仿宋" w:cs="仿宋"/>
          <w:color w:val="auto"/>
          <w:sz w:val="21"/>
          <w:szCs w:val="21"/>
          <w:highlight w:val="none"/>
          <w:lang w:eastAsia="zh-CN"/>
        </w:rPr>
        <w:t>⑤</w:t>
      </w:r>
      <w:r>
        <w:rPr>
          <w:rFonts w:hint="eastAsia" w:ascii="仿宋" w:hAnsi="仿宋" w:eastAsia="仿宋" w:cs="仿宋"/>
          <w:color w:val="auto"/>
          <w:sz w:val="21"/>
          <w:szCs w:val="21"/>
          <w:highlight w:val="none"/>
          <w:lang w:val="en-US" w:eastAsia="zh-CN"/>
        </w:rPr>
        <w:t xml:space="preserve"> 电流：6.8A</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default" w:ascii="仿宋" w:hAnsi="仿宋" w:eastAsia="仿宋" w:cs="仿宋"/>
          <w:color w:val="auto"/>
          <w:sz w:val="21"/>
          <w:szCs w:val="21"/>
          <w:highlight w:val="none"/>
          <w:lang w:eastAsia="zh-CN"/>
        </w:rPr>
        <w:t>⑥</w:t>
      </w:r>
      <w:r>
        <w:rPr>
          <w:rFonts w:hint="eastAsia" w:ascii="仿宋" w:hAnsi="仿宋" w:eastAsia="仿宋" w:cs="仿宋"/>
          <w:color w:val="auto"/>
          <w:sz w:val="21"/>
          <w:szCs w:val="21"/>
          <w:highlight w:val="none"/>
          <w:lang w:val="en-US" w:eastAsia="zh-CN"/>
        </w:rPr>
        <w:t>连接方式：双轴输出</w:t>
      </w:r>
    </w:p>
    <w:p>
      <w:pPr>
        <w:spacing w:line="360" w:lineRule="auto"/>
        <w:ind w:left="418" w:leftChars="174" w:firstLine="0" w:firstLineChars="0"/>
        <w:rPr>
          <w:rFonts w:hint="default" w:ascii="仿宋" w:hAnsi="仿宋" w:eastAsia="仿宋" w:cs="仿宋"/>
          <w:color w:val="auto"/>
          <w:sz w:val="21"/>
          <w:szCs w:val="21"/>
          <w:highlight w:val="none"/>
          <w:lang w:val="en-US" w:eastAsia="zh-CN"/>
        </w:rPr>
      </w:pPr>
      <w:r>
        <w:rPr>
          <w:rFonts w:hint="default" w:ascii="仿宋" w:hAnsi="仿宋" w:eastAsia="仿宋" w:cs="仿宋"/>
          <w:color w:val="auto"/>
          <w:sz w:val="21"/>
          <w:szCs w:val="21"/>
          <w:highlight w:val="none"/>
          <w:lang w:val="en-US" w:eastAsia="zh-CN"/>
        </w:rPr>
        <w:t>⑦</w:t>
      </w:r>
      <w:r>
        <w:rPr>
          <w:rFonts w:hint="eastAsia" w:ascii="仿宋" w:hAnsi="仿宋" w:eastAsia="仿宋" w:cs="仿宋"/>
          <w:color w:val="auto"/>
          <w:sz w:val="21"/>
          <w:szCs w:val="21"/>
          <w:highlight w:val="none"/>
          <w:lang w:val="en-US" w:eastAsia="zh-CN"/>
        </w:rPr>
        <w:t>转速：1430r/min</w:t>
      </w:r>
    </w:p>
    <w:p>
      <w:pPr>
        <w:spacing w:line="360" w:lineRule="auto"/>
        <w:ind w:left="418" w:leftChars="174" w:firstLine="0" w:firstLineChars="0"/>
        <w:rPr>
          <w:rFonts w:hint="default" w:ascii="仿宋" w:hAnsi="仿宋" w:eastAsia="仿宋" w:cs="仿宋"/>
          <w:color w:val="auto"/>
          <w:sz w:val="21"/>
          <w:szCs w:val="21"/>
          <w:highlight w:val="none"/>
          <w:lang w:val="en-US" w:eastAsia="zh-CN"/>
        </w:rPr>
      </w:pPr>
      <w:r>
        <w:rPr>
          <w:rFonts w:hint="default" w:ascii="仿宋" w:hAnsi="仿宋" w:eastAsia="仿宋" w:cs="仿宋"/>
          <w:color w:val="auto"/>
          <w:sz w:val="21"/>
          <w:szCs w:val="21"/>
          <w:highlight w:val="none"/>
          <w:lang w:val="en-US" w:eastAsia="zh-CN"/>
        </w:rPr>
        <w:t>⑧</w:t>
      </w:r>
      <w:r>
        <w:rPr>
          <w:rFonts w:hint="eastAsia" w:ascii="仿宋" w:hAnsi="仿宋" w:eastAsia="仿宋" w:cs="仿宋"/>
          <w:color w:val="auto"/>
          <w:sz w:val="21"/>
          <w:szCs w:val="21"/>
          <w:highlight w:val="none"/>
          <w:lang w:val="en-US" w:eastAsia="zh-CN"/>
        </w:rPr>
        <w:t>工作制：S1</w:t>
      </w:r>
    </w:p>
    <w:p>
      <w:pPr>
        <w:spacing w:line="360" w:lineRule="auto"/>
        <w:ind w:left="418" w:leftChars="174" w:firstLine="0" w:firstLineChars="0"/>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drawing>
          <wp:inline distT="0" distB="0" distL="114300" distR="114300">
            <wp:extent cx="1642110" cy="1456690"/>
            <wp:effectExtent l="0" t="0" r="15240" b="10160"/>
            <wp:docPr id="1" name="图片 1" descr="IMG20250828190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20250828190539"/>
                    <pic:cNvPicPr>
                      <a:picLocks noChangeAspect="1"/>
                    </pic:cNvPicPr>
                  </pic:nvPicPr>
                  <pic:blipFill>
                    <a:blip r:embed="rId5"/>
                    <a:stretch>
                      <a:fillRect/>
                    </a:stretch>
                  </pic:blipFill>
                  <pic:spPr>
                    <a:xfrm>
                      <a:off x="0" y="0"/>
                      <a:ext cx="1642110" cy="1456690"/>
                    </a:xfrm>
                    <a:prstGeom prst="rect">
                      <a:avLst/>
                    </a:prstGeom>
                  </pic:spPr>
                </pic:pic>
              </a:graphicData>
            </a:graphic>
          </wp:inline>
        </w:drawing>
      </w:r>
      <w:r>
        <w:rPr>
          <w:rFonts w:hint="eastAsia" w:ascii="仿宋" w:hAnsi="仿宋" w:eastAsia="仿宋" w:cs="仿宋"/>
          <w:color w:val="auto"/>
          <w:sz w:val="21"/>
          <w:szCs w:val="21"/>
          <w:highlight w:val="none"/>
          <w:lang w:val="en-US" w:eastAsia="zh-CN"/>
        </w:rPr>
        <w:t xml:space="preserve">  </w:t>
      </w:r>
      <w:r>
        <w:rPr>
          <w:rFonts w:hint="default" w:ascii="仿宋" w:hAnsi="仿宋" w:eastAsia="仿宋" w:cs="仿宋"/>
          <w:color w:val="auto"/>
          <w:sz w:val="21"/>
          <w:szCs w:val="21"/>
          <w:highlight w:val="none"/>
          <w:lang w:val="en-US" w:eastAsia="zh-CN"/>
        </w:rPr>
        <w:drawing>
          <wp:inline distT="0" distB="0" distL="114300" distR="114300">
            <wp:extent cx="1654175" cy="1445260"/>
            <wp:effectExtent l="0" t="0" r="3175" b="2540"/>
            <wp:docPr id="2" name="图片 2" descr="IMG20250828190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20250828190600"/>
                    <pic:cNvPicPr>
                      <a:picLocks noChangeAspect="1"/>
                    </pic:cNvPicPr>
                  </pic:nvPicPr>
                  <pic:blipFill>
                    <a:blip r:embed="rId6"/>
                    <a:stretch>
                      <a:fillRect/>
                    </a:stretch>
                  </pic:blipFill>
                  <pic:spPr>
                    <a:xfrm>
                      <a:off x="0" y="0"/>
                      <a:ext cx="1654175" cy="1445260"/>
                    </a:xfrm>
                    <a:prstGeom prst="rect">
                      <a:avLst/>
                    </a:prstGeom>
                  </pic:spPr>
                </pic:pic>
              </a:graphicData>
            </a:graphic>
          </wp:inline>
        </w:drawing>
      </w:r>
    </w:p>
    <w:p>
      <w:pPr>
        <w:spacing w:line="360" w:lineRule="auto"/>
        <w:ind w:left="418" w:leftChars="174" w:firstLine="0" w:firstLineChars="0"/>
        <w:rPr>
          <w:rFonts w:hint="eastAsia" w:ascii="仿宋" w:hAnsi="仿宋" w:eastAsia="仿宋" w:cs="仿宋"/>
          <w:color w:val="FF0000"/>
          <w:sz w:val="21"/>
          <w:szCs w:val="21"/>
          <w:highlight w:val="non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FF0000"/>
          <w:sz w:val="21"/>
          <w:szCs w:val="21"/>
          <w:highlight w:val="none"/>
          <w:lang w:val="en-US" w:eastAsia="zh-CN"/>
        </w:rPr>
        <w:t xml:space="preserve">                          </w:t>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主要技术要求</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1.乙方对所有备件的设计、加工质量、完整性、可靠性负责。</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2.乙方在中标后十天内将正确的纸版和电子版如下资料提供给甲方。</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3.质保期内出现的装置质量问题，乙方免费更换。</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4.质保期内出现的问题，乙方应积极派遣技术人员到现场配合解决。</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5.随机资料：质检报告、出厂合格证、注意事项说明书。</w:t>
      </w:r>
    </w:p>
    <w:p>
      <w:pPr>
        <w:spacing w:line="360" w:lineRule="auto"/>
        <w:rPr>
          <w:rFonts w:hint="default" w:ascii="仿宋" w:hAnsi="仿宋" w:eastAsia="仿宋" w:cs="仿宋"/>
          <w:color w:val="auto"/>
          <w:sz w:val="21"/>
          <w:szCs w:val="21"/>
          <w:highlight w:val="none"/>
          <w:lang w:val="en-US" w:eastAsia="zh-CN"/>
        </w:rPr>
      </w:pPr>
    </w:p>
    <w:p>
      <w:pPr>
        <w:spacing w:line="360" w:lineRule="auto"/>
        <w:ind w:firstLine="478" w:firstLineChars="228"/>
        <w:jc w:val="center"/>
        <w:rPr>
          <w:rFonts w:hint="eastAsia" w:ascii="仿宋" w:hAnsi="仿宋" w:eastAsia="仿宋" w:cs="仿宋"/>
          <w:color w:val="auto"/>
          <w:sz w:val="21"/>
          <w:szCs w:val="21"/>
          <w:highlight w:val="none"/>
          <w:lang w:eastAsia="zh-CN"/>
        </w:rPr>
      </w:pPr>
    </w:p>
    <w:p>
      <w:pPr>
        <w:spacing w:line="360" w:lineRule="auto"/>
        <w:ind w:firstLine="4464" w:firstLineChars="2126"/>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图一</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p>
    <w:tbl>
      <w:tblPr>
        <w:tblStyle w:val="12"/>
        <w:tblW w:w="4996" w:type="pct"/>
        <w:tblInd w:w="0" w:type="dxa"/>
        <w:tblLayout w:type="autofit"/>
        <w:tblCellMar>
          <w:top w:w="0" w:type="dxa"/>
          <w:left w:w="108" w:type="dxa"/>
          <w:bottom w:w="0" w:type="dxa"/>
          <w:right w:w="108" w:type="dxa"/>
        </w:tblCellMar>
      </w:tblPr>
      <w:tblGrid>
        <w:gridCol w:w="484"/>
        <w:gridCol w:w="1047"/>
        <w:gridCol w:w="3052"/>
        <w:gridCol w:w="1080"/>
        <w:gridCol w:w="1539"/>
        <w:gridCol w:w="1109"/>
        <w:gridCol w:w="1257"/>
      </w:tblGrid>
      <w:tr>
        <w:tblPrEx>
          <w:tblCellMar>
            <w:top w:w="0" w:type="dxa"/>
            <w:left w:w="108" w:type="dxa"/>
            <w:bottom w:w="0" w:type="dxa"/>
            <w:right w:w="108" w:type="dxa"/>
          </w:tblCellMar>
        </w:tblPrEx>
        <w:trPr>
          <w:trHeight w:val="400" w:hRule="atLeast"/>
        </w:trPr>
        <w:tc>
          <w:tcPr>
            <w:tcW w:w="253"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547"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594"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564"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04"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235" w:type="pct"/>
            <w:gridSpan w:val="2"/>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tblPrEx>
          <w:tblCellMar>
            <w:top w:w="0" w:type="dxa"/>
            <w:left w:w="108" w:type="dxa"/>
            <w:bottom w:w="0" w:type="dxa"/>
            <w:right w:w="108" w:type="dxa"/>
          </w:tblCellMar>
        </w:tblPrEx>
        <w:trPr>
          <w:trHeight w:val="400" w:hRule="atLeast"/>
        </w:trPr>
        <w:tc>
          <w:tcPr>
            <w:tcW w:w="2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547"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159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56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80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579"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655"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tblPrEx>
          <w:tblCellMar>
            <w:top w:w="0" w:type="dxa"/>
            <w:left w:w="108" w:type="dxa"/>
            <w:bottom w:w="0" w:type="dxa"/>
            <w:right w:w="108" w:type="dxa"/>
          </w:tblCellMar>
        </w:tblPrEx>
        <w:trPr>
          <w:trHeight w:val="573" w:hRule="atLeast"/>
        </w:trPr>
        <w:tc>
          <w:tcPr>
            <w:tcW w:w="253"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547"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宋体" w:hAnsi="宋体" w:eastAsia="宋体" w:cs="宋体"/>
                <w:b w:val="0"/>
                <w:bCs w:val="0"/>
                <w:color w:val="auto"/>
                <w:kern w:val="1"/>
                <w:sz w:val="20"/>
                <w:szCs w:val="20"/>
                <w:highlight w:val="none"/>
              </w:rPr>
              <w:t xml:space="preserve">70363692 </w:t>
            </w:r>
          </w:p>
        </w:tc>
        <w:tc>
          <w:tcPr>
            <w:tcW w:w="1594" w:type="pct"/>
            <w:tcBorders>
              <w:top w:val="nil"/>
              <w:left w:val="nil"/>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  三相交流异步电动机YE5-100L2-4 3KW 380V  1级 F (+)</w:t>
            </w:r>
          </w:p>
        </w:tc>
        <w:tc>
          <w:tcPr>
            <w:tcW w:w="564" w:type="pct"/>
            <w:tcBorders>
              <w:top w:val="nil"/>
              <w:left w:val="nil"/>
              <w:bottom w:val="single" w:color="auto" w:sz="4" w:space="0"/>
              <w:right w:val="single" w:color="auto" w:sz="4" w:space="0"/>
            </w:tcBorders>
            <w:noWrap w:val="0"/>
            <w:vAlign w:val="center"/>
          </w:tcPr>
          <w:p>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804" w:type="pct"/>
            <w:tcBorders>
              <w:top w:val="nil"/>
              <w:left w:val="nil"/>
              <w:bottom w:val="single" w:color="auto" w:sz="4" w:space="0"/>
              <w:right w:val="single" w:color="auto" w:sz="4" w:space="0"/>
            </w:tcBorders>
            <w:noWrap w:val="0"/>
            <w:vAlign w:val="center"/>
          </w:tcPr>
          <w:p>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579"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55"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pPr>
        <w:spacing w:line="360" w:lineRule="auto"/>
        <w:ind w:left="0" w:leftChars="0" w:firstLine="0" w:firstLineChars="0"/>
        <w:rPr>
          <w:rFonts w:hint="default" w:ascii="仿宋" w:hAnsi="仿宋" w:eastAsia="仿宋" w:cs="仿宋"/>
          <w:b/>
          <w:bCs/>
          <w:color w:val="auto"/>
          <w:spacing w:val="-4"/>
          <w:kern w:val="28"/>
          <w:sz w:val="21"/>
          <w:szCs w:val="21"/>
          <w:highlight w:val="none"/>
          <w:lang w:val="en-US"/>
        </w:rPr>
      </w:pPr>
      <w:r>
        <w:rPr>
          <w:rFonts w:hint="eastAsia" w:ascii="仿宋" w:hAnsi="仿宋" w:eastAsia="仿宋" w:cs="仿宋"/>
          <w:b/>
          <w:bCs/>
          <w:color w:val="auto"/>
          <w:sz w:val="21"/>
          <w:szCs w:val="21"/>
          <w:highlight w:val="none"/>
          <w:lang w:val="en-US" w:eastAsia="zh-CN"/>
        </w:rPr>
        <w:t>安装方式必须与现场安装尺寸一致，确保提供的电机能够完全的备用和互换。厂家现场测绘具体安装数据，电机必须符合国标能效技术要求。</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陈永刚；</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15390581856 </w:t>
      </w:r>
    </w:p>
    <w:p>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chenyongang1@jiugang.com</w:t>
      </w:r>
    </w:p>
    <w:p>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此备件</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30</w:t>
      </w:r>
      <w:r>
        <w:rPr>
          <w:rFonts w:hint="eastAsia" w:ascii="仿宋" w:hAnsi="仿宋" w:eastAsia="仿宋" w:cs="仿宋"/>
          <w:color w:val="auto"/>
          <w:sz w:val="21"/>
          <w:szCs w:val="21"/>
          <w:highlight w:val="none"/>
        </w:rPr>
        <w:t>日</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rPr>
          <w:rFonts w:hint="eastAsia" w:ascii="仿宋" w:hAnsi="仿宋" w:eastAsia="仿宋" w:cs="仿宋"/>
          <w:color w:val="auto"/>
          <w:sz w:val="21"/>
          <w:szCs w:val="21"/>
          <w:highlight w:val="none"/>
        </w:rPr>
      </w:pPr>
    </w:p>
    <w:sectPr>
      <w:footerReference r:id="rId3" w:type="default"/>
      <w:pgSz w:w="11907" w:h="16840"/>
      <w:pgMar w:top="1440" w:right="1470" w:bottom="1440" w:left="1077"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0NGIxNmFmYzZlNmFiNDYxMzdmMWQxNGEzZWMxYjk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44285"/>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8416F2D"/>
    <w:rsid w:val="0A502357"/>
    <w:rsid w:val="0AF75787"/>
    <w:rsid w:val="0C693DF6"/>
    <w:rsid w:val="0F6949B9"/>
    <w:rsid w:val="0FA7334B"/>
    <w:rsid w:val="11AC1D80"/>
    <w:rsid w:val="11D76808"/>
    <w:rsid w:val="13D32C4B"/>
    <w:rsid w:val="14A213F8"/>
    <w:rsid w:val="15B8653A"/>
    <w:rsid w:val="15C0276A"/>
    <w:rsid w:val="165775BA"/>
    <w:rsid w:val="1763479D"/>
    <w:rsid w:val="17B55FF2"/>
    <w:rsid w:val="18A90670"/>
    <w:rsid w:val="190D30A5"/>
    <w:rsid w:val="1A9210DE"/>
    <w:rsid w:val="1C3A718F"/>
    <w:rsid w:val="1D0E6271"/>
    <w:rsid w:val="1D701F7E"/>
    <w:rsid w:val="1E995A6B"/>
    <w:rsid w:val="205F020B"/>
    <w:rsid w:val="262C11AD"/>
    <w:rsid w:val="264D6D44"/>
    <w:rsid w:val="27340023"/>
    <w:rsid w:val="274A49E9"/>
    <w:rsid w:val="29796396"/>
    <w:rsid w:val="2CE76254"/>
    <w:rsid w:val="2D34414E"/>
    <w:rsid w:val="2F5A6DBC"/>
    <w:rsid w:val="30DD6F16"/>
    <w:rsid w:val="316F691B"/>
    <w:rsid w:val="324A771F"/>
    <w:rsid w:val="348575AD"/>
    <w:rsid w:val="34F76C36"/>
    <w:rsid w:val="379D74FF"/>
    <w:rsid w:val="37D130D6"/>
    <w:rsid w:val="382611A3"/>
    <w:rsid w:val="38822413"/>
    <w:rsid w:val="39481A9A"/>
    <w:rsid w:val="3B9823B7"/>
    <w:rsid w:val="3BAC5A4D"/>
    <w:rsid w:val="3E3770BC"/>
    <w:rsid w:val="3EAF1EBE"/>
    <w:rsid w:val="400A0C2B"/>
    <w:rsid w:val="404B0715"/>
    <w:rsid w:val="42650422"/>
    <w:rsid w:val="43021DC3"/>
    <w:rsid w:val="43AA712C"/>
    <w:rsid w:val="4852620B"/>
    <w:rsid w:val="48AE77F9"/>
    <w:rsid w:val="49916AB0"/>
    <w:rsid w:val="4A1D17C2"/>
    <w:rsid w:val="4BE13E2E"/>
    <w:rsid w:val="4C793B3F"/>
    <w:rsid w:val="4D6E11CA"/>
    <w:rsid w:val="4E02772B"/>
    <w:rsid w:val="4F664D9F"/>
    <w:rsid w:val="4F7E26BC"/>
    <w:rsid w:val="508431D1"/>
    <w:rsid w:val="50A373DC"/>
    <w:rsid w:val="52543B4B"/>
    <w:rsid w:val="53193986"/>
    <w:rsid w:val="53B546F8"/>
    <w:rsid w:val="54204FA1"/>
    <w:rsid w:val="568E09F4"/>
    <w:rsid w:val="577F2AA1"/>
    <w:rsid w:val="57F435E4"/>
    <w:rsid w:val="581035A9"/>
    <w:rsid w:val="58374651"/>
    <w:rsid w:val="595125A3"/>
    <w:rsid w:val="5A5B7F3B"/>
    <w:rsid w:val="5B315B67"/>
    <w:rsid w:val="5B710307"/>
    <w:rsid w:val="5C3A6E47"/>
    <w:rsid w:val="5EB033F0"/>
    <w:rsid w:val="608B2DCE"/>
    <w:rsid w:val="61D858B1"/>
    <w:rsid w:val="625E7ACB"/>
    <w:rsid w:val="63B82D47"/>
    <w:rsid w:val="67A63303"/>
    <w:rsid w:val="68343DB1"/>
    <w:rsid w:val="68884588"/>
    <w:rsid w:val="6AB0617B"/>
    <w:rsid w:val="713F7586"/>
    <w:rsid w:val="72D75DC2"/>
    <w:rsid w:val="74753B7F"/>
    <w:rsid w:val="749479A7"/>
    <w:rsid w:val="74FB6702"/>
    <w:rsid w:val="75035C01"/>
    <w:rsid w:val="76AA51C8"/>
    <w:rsid w:val="793D18CD"/>
    <w:rsid w:val="7A073341"/>
    <w:rsid w:val="7B7A6D7B"/>
    <w:rsid w:val="7CEA75F4"/>
    <w:rsid w:val="7D20578D"/>
    <w:rsid w:val="7F9D2CB2"/>
    <w:rsid w:val="7FE740F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wisdri</Company>
  <Pages>5</Pages>
  <Words>1611</Words>
  <Characters>1859</Characters>
  <Lines>16</Lines>
  <Paragraphs>4</Paragraphs>
  <TotalTime>0</TotalTime>
  <ScaleCrop>false</ScaleCrop>
  <LinksUpToDate>false</LinksUpToDate>
  <CharactersWithSpaces>2076</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往事</cp:lastModifiedBy>
  <cp:lastPrinted>2010-06-13T03:59:00Z</cp:lastPrinted>
  <dcterms:modified xsi:type="dcterms:W3CDTF">2026-05-11T08:40:38Z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1DA372D18A904732A75D46C19E0AD107_13</vt:lpwstr>
  </property>
  <property fmtid="{D5CDD505-2E9C-101B-9397-08002B2CF9AE}" pid="4" name="KSOTemplateDocerSaveRecord">
    <vt:lpwstr>eyJoZGlkIjoiZDNhMzRmZjYxZTU0OTJmZjFjZTBiMWM2YmI1NjI5YWMiLCJ1c2VySWQiOiIxNjQ5Mjc3NjkwIn0=</vt:lpwstr>
  </property>
</Properties>
</file>